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26" w:rsidRPr="008E071F" w:rsidRDefault="00994826" w:rsidP="008E0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8E071F">
        <w:rPr>
          <w:sz w:val="28"/>
          <w:szCs w:val="28"/>
          <w:lang w:val="en-CA"/>
        </w:rPr>
        <w:fldChar w:fldCharType="begin"/>
      </w:r>
      <w:r w:rsidRPr="008E071F">
        <w:rPr>
          <w:sz w:val="28"/>
          <w:szCs w:val="28"/>
          <w:lang w:val="en-CA"/>
        </w:rPr>
        <w:instrText xml:space="preserve"> SEQ CHAPTER \h \r 1</w:instrText>
      </w:r>
      <w:r w:rsidRPr="008E071F">
        <w:rPr>
          <w:sz w:val="28"/>
          <w:szCs w:val="28"/>
          <w:lang w:val="en-CA"/>
        </w:rPr>
        <w:fldChar w:fldCharType="end"/>
      </w:r>
      <w:r w:rsidRPr="008E071F">
        <w:rPr>
          <w:b/>
          <w:bCs/>
          <w:sz w:val="28"/>
          <w:szCs w:val="28"/>
        </w:rPr>
        <w:t>8.</w:t>
      </w:r>
      <w:r w:rsidR="004F129F">
        <w:rPr>
          <w:b/>
          <w:bCs/>
          <w:sz w:val="28"/>
          <w:szCs w:val="28"/>
        </w:rPr>
        <w:t>13</w:t>
      </w:r>
      <w:r w:rsidR="00450ACF" w:rsidRPr="008E071F">
        <w:rPr>
          <w:b/>
          <w:bCs/>
          <w:sz w:val="28"/>
          <w:szCs w:val="28"/>
        </w:rPr>
        <w:t>.</w:t>
      </w:r>
      <w:r w:rsidRPr="008E071F">
        <w:rPr>
          <w:b/>
          <w:bCs/>
          <w:sz w:val="28"/>
          <w:szCs w:val="28"/>
        </w:rPr>
        <w:t xml:space="preserve"> Declaration of Future Intent</w:t>
      </w:r>
    </w:p>
    <w:p w:rsidR="008E071F" w:rsidRPr="008E071F" w:rsidRDefault="008E071F" w:rsidP="008E0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994826" w:rsidRPr="008E071F" w:rsidRDefault="00CF6F97" w:rsidP="00AC3BC8">
      <w:pPr>
        <w:pStyle w:val="L1-1"/>
        <w:widowControl/>
        <w:tabs>
          <w:tab w:val="left" w:pos="720"/>
          <w:tab w:val="left" w:pos="2880"/>
          <w:tab w:val="left" w:pos="3600"/>
          <w:tab w:val="left" w:pos="4320"/>
          <w:tab w:val="left" w:pos="5040"/>
          <w:tab w:val="left" w:pos="5760"/>
          <w:tab w:val="left" w:pos="6480"/>
        </w:tabs>
        <w:ind w:left="720" w:right="720" w:hanging="4"/>
        <w:rPr>
          <w:b/>
          <w:bCs/>
          <w:sz w:val="28"/>
          <w:szCs w:val="28"/>
        </w:rPr>
      </w:pPr>
      <w:r>
        <w:rPr>
          <w:b/>
          <w:bCs/>
          <w:sz w:val="28"/>
          <w:szCs w:val="28"/>
        </w:rPr>
        <w:t>(1)</w:t>
      </w:r>
      <w:r w:rsidR="008E071F">
        <w:rPr>
          <w:b/>
          <w:bCs/>
          <w:sz w:val="28"/>
          <w:szCs w:val="28"/>
        </w:rPr>
        <w:t xml:space="preserve"> </w:t>
      </w:r>
      <w:r w:rsidR="00994826" w:rsidRPr="008E071F">
        <w:rPr>
          <w:b/>
          <w:bCs/>
          <w:sz w:val="28"/>
          <w:szCs w:val="28"/>
        </w:rPr>
        <w:t>Where an out-of-court statement of a declarant describes the declarant’s then-existing intent and is offered to prove subsequent conduct</w:t>
      </w:r>
      <w:r w:rsidR="005008DD">
        <w:rPr>
          <w:b/>
          <w:bCs/>
          <w:sz w:val="28"/>
          <w:szCs w:val="28"/>
        </w:rPr>
        <w:t>,</w:t>
      </w:r>
      <w:r w:rsidR="00994826" w:rsidRPr="008E071F">
        <w:rPr>
          <w:b/>
          <w:bCs/>
          <w:sz w:val="28"/>
          <w:szCs w:val="28"/>
        </w:rPr>
        <w:t xml:space="preserve"> it is admissible as follows:</w:t>
      </w:r>
    </w:p>
    <w:p w:rsidR="00994826" w:rsidRPr="008E071F" w:rsidRDefault="00994826" w:rsidP="00CF6F97">
      <w:pPr>
        <w:pStyle w:val="ListParagra"/>
        <w:widowControl/>
        <w:numPr>
          <w:ilvl w:val="12"/>
          <w:numId w:val="0"/>
        </w:numPr>
        <w:tabs>
          <w:tab w:val="left" w:pos="750"/>
          <w:tab w:val="left" w:pos="1440"/>
          <w:tab w:val="left" w:pos="2160"/>
          <w:tab w:val="left" w:pos="2880"/>
          <w:tab w:val="left" w:pos="3600"/>
          <w:tab w:val="left" w:pos="4320"/>
          <w:tab w:val="left" w:pos="5040"/>
          <w:tab w:val="left" w:pos="5760"/>
          <w:tab w:val="left" w:pos="6480"/>
          <w:tab w:val="left" w:pos="7200"/>
          <w:tab w:val="left" w:pos="7488"/>
        </w:tabs>
        <w:spacing w:after="0" w:line="240" w:lineRule="auto"/>
        <w:ind w:right="720"/>
        <w:rPr>
          <w:rFonts w:ascii="Times New Roman" w:hAnsi="Times New Roman" w:cs="Times New Roman"/>
          <w:b/>
          <w:bCs/>
          <w:sz w:val="28"/>
          <w:szCs w:val="28"/>
        </w:rPr>
      </w:pPr>
    </w:p>
    <w:p w:rsidR="00994826" w:rsidRPr="008E071F" w:rsidRDefault="00994826" w:rsidP="00CF6F97">
      <w:pPr>
        <w:pStyle w:val="ListParagra"/>
        <w:widowControl/>
        <w:numPr>
          <w:ilvl w:val="12"/>
          <w:numId w:val="0"/>
        </w:numPr>
        <w:tabs>
          <w:tab w:val="left" w:pos="1152"/>
          <w:tab w:val="left" w:pos="1440"/>
          <w:tab w:val="left" w:pos="2160"/>
          <w:tab w:val="left" w:pos="2880"/>
          <w:tab w:val="left" w:pos="3600"/>
          <w:tab w:val="left" w:pos="4320"/>
          <w:tab w:val="left" w:pos="5040"/>
          <w:tab w:val="left" w:pos="5760"/>
          <w:tab w:val="left" w:pos="6480"/>
          <w:tab w:val="left" w:pos="6768"/>
        </w:tabs>
        <w:spacing w:after="0" w:line="240" w:lineRule="auto"/>
        <w:ind w:left="1152" w:right="720"/>
        <w:rPr>
          <w:rFonts w:ascii="Times New Roman" w:hAnsi="Times New Roman" w:cs="Times New Roman"/>
          <w:b/>
          <w:bCs/>
          <w:sz w:val="28"/>
          <w:szCs w:val="28"/>
        </w:rPr>
      </w:pPr>
      <w:r w:rsidRPr="008E071F">
        <w:rPr>
          <w:rFonts w:ascii="Times New Roman" w:hAnsi="Times New Roman" w:cs="Times New Roman"/>
          <w:b/>
          <w:bCs/>
          <w:sz w:val="28"/>
          <w:szCs w:val="28"/>
        </w:rPr>
        <w:t xml:space="preserve">(a) </w:t>
      </w:r>
      <w:r w:rsidR="001F73D9">
        <w:rPr>
          <w:rFonts w:ascii="Times New Roman" w:hAnsi="Times New Roman" w:cs="Times New Roman"/>
          <w:b/>
          <w:bCs/>
          <w:sz w:val="28"/>
          <w:szCs w:val="28"/>
        </w:rPr>
        <w:t>A</w:t>
      </w:r>
      <w:r w:rsidRPr="008E071F">
        <w:rPr>
          <w:rFonts w:ascii="Times New Roman" w:hAnsi="Times New Roman" w:cs="Times New Roman"/>
          <w:b/>
          <w:bCs/>
          <w:sz w:val="28"/>
          <w:szCs w:val="28"/>
        </w:rPr>
        <w:t xml:space="preserve"> declarant’s out-of-court statement of an intention to engage </w:t>
      </w:r>
      <w:proofErr w:type="gramStart"/>
      <w:r w:rsidRPr="008E071F">
        <w:rPr>
          <w:rFonts w:ascii="Times New Roman" w:hAnsi="Times New Roman" w:cs="Times New Roman"/>
          <w:b/>
          <w:bCs/>
          <w:sz w:val="28"/>
          <w:szCs w:val="28"/>
        </w:rPr>
        <w:t>in particular</w:t>
      </w:r>
      <w:r w:rsidR="00F13291">
        <w:rPr>
          <w:rFonts w:ascii="Times New Roman" w:hAnsi="Times New Roman" w:cs="Times New Roman"/>
          <w:b/>
          <w:bCs/>
          <w:sz w:val="28"/>
          <w:szCs w:val="28"/>
        </w:rPr>
        <w:t xml:space="preserve"> </w:t>
      </w:r>
      <w:r w:rsidRPr="008E071F">
        <w:rPr>
          <w:rFonts w:ascii="Times New Roman" w:hAnsi="Times New Roman" w:cs="Times New Roman"/>
          <w:b/>
          <w:bCs/>
          <w:sz w:val="28"/>
          <w:szCs w:val="28"/>
        </w:rPr>
        <w:t>conduct</w:t>
      </w:r>
      <w:proofErr w:type="gramEnd"/>
      <w:r w:rsidRPr="008E071F">
        <w:rPr>
          <w:rFonts w:ascii="Times New Roman" w:hAnsi="Times New Roman" w:cs="Times New Roman"/>
          <w:b/>
          <w:bCs/>
          <w:sz w:val="28"/>
          <w:szCs w:val="28"/>
        </w:rPr>
        <w:t xml:space="preserve"> is admissible to prove that the declarant engaged in that conduct, provided there is independent evidence of the statement’s reliability, i.e., a showing of circumstances which all but rule out a motive to falsify, and independent evidence that the declarant was at least likely to have engaged in that conduct.</w:t>
      </w:r>
    </w:p>
    <w:p w:rsidR="008E071F" w:rsidRDefault="008E071F" w:rsidP="00CF6F97">
      <w:pPr>
        <w:widowControl/>
        <w:numPr>
          <w:ilvl w:val="12"/>
          <w:numId w:val="0"/>
        </w:numPr>
        <w:tabs>
          <w:tab w:val="left" w:pos="1152"/>
          <w:tab w:val="left" w:pos="1440"/>
          <w:tab w:val="left" w:pos="2160"/>
          <w:tab w:val="left" w:pos="2880"/>
          <w:tab w:val="left" w:pos="3600"/>
          <w:tab w:val="left" w:pos="4320"/>
          <w:tab w:val="left" w:pos="5040"/>
          <w:tab w:val="left" w:pos="5760"/>
          <w:tab w:val="left" w:pos="6480"/>
          <w:tab w:val="left" w:pos="6768"/>
        </w:tabs>
        <w:ind w:right="720"/>
        <w:jc w:val="both"/>
        <w:rPr>
          <w:b/>
          <w:bCs/>
          <w:sz w:val="28"/>
          <w:szCs w:val="28"/>
        </w:rPr>
      </w:pPr>
    </w:p>
    <w:p w:rsidR="00994826" w:rsidRDefault="00994826" w:rsidP="00CF6F97">
      <w:pPr>
        <w:widowControl/>
        <w:numPr>
          <w:ilvl w:val="12"/>
          <w:numId w:val="0"/>
        </w:numPr>
        <w:tabs>
          <w:tab w:val="left" w:pos="1152"/>
          <w:tab w:val="left" w:pos="1440"/>
          <w:tab w:val="left" w:pos="2160"/>
          <w:tab w:val="left" w:pos="2880"/>
          <w:tab w:val="left" w:pos="3600"/>
          <w:tab w:val="left" w:pos="4320"/>
          <w:tab w:val="left" w:pos="5040"/>
          <w:tab w:val="left" w:pos="5760"/>
          <w:tab w:val="left" w:pos="6480"/>
          <w:tab w:val="left" w:pos="6768"/>
        </w:tabs>
        <w:ind w:left="1152" w:right="720"/>
        <w:jc w:val="both"/>
        <w:rPr>
          <w:b/>
          <w:bCs/>
          <w:sz w:val="28"/>
          <w:szCs w:val="28"/>
        </w:rPr>
      </w:pPr>
      <w:r w:rsidRPr="008E071F">
        <w:rPr>
          <w:b/>
          <w:bCs/>
          <w:sz w:val="28"/>
          <w:szCs w:val="28"/>
        </w:rPr>
        <w:t xml:space="preserve">(b) Where the statement also indicates an intention to engage </w:t>
      </w:r>
      <w:proofErr w:type="gramStart"/>
      <w:r w:rsidRPr="008E071F">
        <w:rPr>
          <w:b/>
          <w:bCs/>
          <w:sz w:val="28"/>
          <w:szCs w:val="28"/>
        </w:rPr>
        <w:t>in particular conduct</w:t>
      </w:r>
      <w:proofErr w:type="gramEnd"/>
      <w:r w:rsidR="00F51DE0">
        <w:rPr>
          <w:b/>
          <w:bCs/>
          <w:sz w:val="28"/>
          <w:szCs w:val="28"/>
        </w:rPr>
        <w:t xml:space="preserve"> </w:t>
      </w:r>
      <w:r w:rsidRPr="008E071F">
        <w:rPr>
          <w:b/>
          <w:bCs/>
          <w:sz w:val="28"/>
          <w:szCs w:val="28"/>
        </w:rPr>
        <w:t xml:space="preserve">with another person, such statement is admissible to prove that such other person engaged, in fact, in the conduct: </w:t>
      </w:r>
    </w:p>
    <w:p w:rsidR="008E071F" w:rsidRPr="008E071F" w:rsidRDefault="008E071F" w:rsidP="00CF6F97">
      <w:pPr>
        <w:widowControl/>
        <w:numPr>
          <w:ilvl w:val="12"/>
          <w:numId w:val="0"/>
        </w:numPr>
        <w:tabs>
          <w:tab w:val="left" w:pos="1152"/>
          <w:tab w:val="left" w:pos="1440"/>
          <w:tab w:val="left" w:pos="2160"/>
          <w:tab w:val="left" w:pos="2880"/>
          <w:tab w:val="left" w:pos="3600"/>
          <w:tab w:val="left" w:pos="4320"/>
          <w:tab w:val="left" w:pos="5040"/>
          <w:tab w:val="left" w:pos="5760"/>
          <w:tab w:val="left" w:pos="6480"/>
          <w:tab w:val="left" w:pos="6768"/>
        </w:tabs>
        <w:ind w:right="720"/>
        <w:jc w:val="both"/>
        <w:rPr>
          <w:b/>
          <w:bCs/>
          <w:sz w:val="28"/>
          <w:szCs w:val="28"/>
        </w:rPr>
      </w:pPr>
    </w:p>
    <w:p w:rsidR="00994826" w:rsidRDefault="00AC3BC8" w:rsidP="00AC3BC8">
      <w:pPr>
        <w:widowControl/>
        <w:tabs>
          <w:tab w:val="left" w:pos="1980"/>
          <w:tab w:val="left" w:pos="3600"/>
          <w:tab w:val="left" w:pos="4320"/>
          <w:tab w:val="left" w:pos="5040"/>
          <w:tab w:val="left" w:pos="5760"/>
          <w:tab w:val="left" w:pos="6480"/>
          <w:tab w:val="left" w:pos="6768"/>
        </w:tabs>
        <w:ind w:left="1800" w:right="900"/>
        <w:jc w:val="both"/>
        <w:rPr>
          <w:b/>
          <w:bCs/>
          <w:sz w:val="28"/>
          <w:szCs w:val="28"/>
        </w:rPr>
      </w:pPr>
      <w:r>
        <w:rPr>
          <w:b/>
          <w:bCs/>
          <w:sz w:val="28"/>
          <w:szCs w:val="28"/>
        </w:rPr>
        <w:t>(i)</w:t>
      </w:r>
      <w:r w:rsidR="008E071F">
        <w:rPr>
          <w:b/>
          <w:bCs/>
          <w:sz w:val="28"/>
          <w:szCs w:val="28"/>
        </w:rPr>
        <w:t xml:space="preserve"> </w:t>
      </w:r>
      <w:r w:rsidR="00994826" w:rsidRPr="008E071F">
        <w:rPr>
          <w:b/>
          <w:bCs/>
          <w:sz w:val="28"/>
          <w:szCs w:val="28"/>
        </w:rPr>
        <w:t xml:space="preserve">if the declarant is unavailable; </w:t>
      </w:r>
    </w:p>
    <w:p w:rsidR="008E071F" w:rsidRPr="008E071F" w:rsidRDefault="008E071F" w:rsidP="00AC3BC8">
      <w:pPr>
        <w:widowControl/>
        <w:tabs>
          <w:tab w:val="left" w:pos="2160"/>
          <w:tab w:val="left" w:pos="3600"/>
          <w:tab w:val="left" w:pos="4320"/>
          <w:tab w:val="left" w:pos="5040"/>
          <w:tab w:val="left" w:pos="5760"/>
          <w:tab w:val="left" w:pos="6480"/>
          <w:tab w:val="left" w:pos="6768"/>
        </w:tabs>
        <w:ind w:left="1800" w:right="900"/>
        <w:jc w:val="both"/>
        <w:rPr>
          <w:b/>
          <w:bCs/>
          <w:sz w:val="28"/>
          <w:szCs w:val="28"/>
        </w:rPr>
      </w:pPr>
    </w:p>
    <w:p w:rsidR="00994826" w:rsidRPr="008E071F" w:rsidRDefault="00994826" w:rsidP="00AC3BC8">
      <w:pPr>
        <w:widowControl/>
        <w:numPr>
          <w:ilvl w:val="12"/>
          <w:numId w:val="0"/>
        </w:numPr>
        <w:tabs>
          <w:tab w:val="left" w:pos="2160"/>
          <w:tab w:val="left" w:pos="3600"/>
          <w:tab w:val="left" w:pos="4320"/>
          <w:tab w:val="left" w:pos="5040"/>
          <w:tab w:val="left" w:pos="5760"/>
          <w:tab w:val="left" w:pos="6480"/>
          <w:tab w:val="left" w:pos="6768"/>
        </w:tabs>
        <w:ind w:left="1800" w:right="900"/>
        <w:jc w:val="both"/>
        <w:rPr>
          <w:b/>
          <w:bCs/>
          <w:sz w:val="28"/>
          <w:szCs w:val="28"/>
        </w:rPr>
      </w:pPr>
      <w:r w:rsidRPr="008E071F">
        <w:rPr>
          <w:b/>
          <w:bCs/>
          <w:sz w:val="28"/>
          <w:szCs w:val="28"/>
        </w:rPr>
        <w:t>(ii) if the statement of the declarant’s intent unambiguously contemplated some future action by the declarant, either jointly with the non-declarant or which required t</w:t>
      </w:r>
      <w:bookmarkStart w:id="0" w:name="_GoBack"/>
      <w:bookmarkEnd w:id="0"/>
      <w:r w:rsidRPr="008E071F">
        <w:rPr>
          <w:b/>
          <w:bCs/>
          <w:sz w:val="28"/>
          <w:szCs w:val="28"/>
        </w:rPr>
        <w:t xml:space="preserve">he non-declarant’s cooperation for its accomplishment; </w:t>
      </w:r>
    </w:p>
    <w:p w:rsidR="008E071F" w:rsidRDefault="008E071F" w:rsidP="00AC3BC8">
      <w:pPr>
        <w:widowControl/>
        <w:numPr>
          <w:ilvl w:val="12"/>
          <w:numId w:val="0"/>
        </w:numPr>
        <w:tabs>
          <w:tab w:val="left" w:pos="2160"/>
          <w:tab w:val="left" w:pos="3600"/>
          <w:tab w:val="left" w:pos="4320"/>
          <w:tab w:val="left" w:pos="5040"/>
          <w:tab w:val="left" w:pos="5760"/>
          <w:tab w:val="left" w:pos="6480"/>
          <w:tab w:val="left" w:pos="6768"/>
        </w:tabs>
        <w:ind w:left="1800" w:right="900"/>
        <w:jc w:val="both"/>
        <w:rPr>
          <w:b/>
          <w:bCs/>
          <w:sz w:val="28"/>
          <w:szCs w:val="28"/>
        </w:rPr>
      </w:pPr>
    </w:p>
    <w:p w:rsidR="00994826" w:rsidRPr="008E071F" w:rsidRDefault="00994826" w:rsidP="00AC3BC8">
      <w:pPr>
        <w:widowControl/>
        <w:numPr>
          <w:ilvl w:val="12"/>
          <w:numId w:val="0"/>
        </w:numPr>
        <w:tabs>
          <w:tab w:val="left" w:pos="2160"/>
          <w:tab w:val="left" w:pos="3600"/>
          <w:tab w:val="left" w:pos="4320"/>
          <w:tab w:val="left" w:pos="5040"/>
          <w:tab w:val="left" w:pos="5760"/>
          <w:tab w:val="left" w:pos="6480"/>
          <w:tab w:val="left" w:pos="6768"/>
        </w:tabs>
        <w:ind w:left="1800" w:right="900"/>
        <w:jc w:val="both"/>
        <w:rPr>
          <w:b/>
          <w:bCs/>
          <w:sz w:val="28"/>
          <w:szCs w:val="28"/>
        </w:rPr>
      </w:pPr>
      <w:r w:rsidRPr="008E071F">
        <w:rPr>
          <w:b/>
          <w:bCs/>
          <w:sz w:val="28"/>
          <w:szCs w:val="28"/>
        </w:rPr>
        <w:t>(iii) to the extent that the declaration expressly or impliedly refers to a prior understanding or arr</w:t>
      </w:r>
      <w:r w:rsidR="00F51DE0">
        <w:rPr>
          <w:b/>
          <w:bCs/>
          <w:sz w:val="28"/>
          <w:szCs w:val="28"/>
        </w:rPr>
        <w:t>angement with the non-declarant</w:t>
      </w:r>
      <w:r w:rsidRPr="008E071F">
        <w:rPr>
          <w:b/>
          <w:bCs/>
          <w:sz w:val="28"/>
          <w:szCs w:val="28"/>
        </w:rPr>
        <w:t xml:space="preserve">, it must be inferable under the circumstances that the understanding or arrangement occurred in the recent past and that the declarant was a party to it or had competent knowledge of it; and </w:t>
      </w:r>
    </w:p>
    <w:p w:rsidR="008E071F" w:rsidRDefault="008E071F" w:rsidP="00AC3BC8">
      <w:pPr>
        <w:widowControl/>
        <w:numPr>
          <w:ilvl w:val="12"/>
          <w:numId w:val="0"/>
        </w:numPr>
        <w:tabs>
          <w:tab w:val="left" w:pos="2160"/>
          <w:tab w:val="left" w:pos="3600"/>
          <w:tab w:val="left" w:pos="4320"/>
          <w:tab w:val="left" w:pos="5040"/>
          <w:tab w:val="left" w:pos="5760"/>
          <w:tab w:val="left" w:pos="6480"/>
          <w:tab w:val="left" w:pos="6768"/>
        </w:tabs>
        <w:ind w:left="1800" w:right="900"/>
        <w:jc w:val="both"/>
        <w:rPr>
          <w:b/>
          <w:bCs/>
          <w:sz w:val="28"/>
          <w:szCs w:val="28"/>
        </w:rPr>
      </w:pPr>
    </w:p>
    <w:p w:rsidR="00994826" w:rsidRDefault="00994826" w:rsidP="00AC3BC8">
      <w:pPr>
        <w:widowControl/>
        <w:numPr>
          <w:ilvl w:val="12"/>
          <w:numId w:val="0"/>
        </w:numPr>
        <w:tabs>
          <w:tab w:val="left" w:pos="2160"/>
          <w:tab w:val="left" w:pos="3600"/>
          <w:tab w:val="left" w:pos="4320"/>
          <w:tab w:val="left" w:pos="5040"/>
          <w:tab w:val="left" w:pos="5760"/>
          <w:tab w:val="left" w:pos="6480"/>
          <w:tab w:val="left" w:pos="6768"/>
        </w:tabs>
        <w:ind w:left="1800" w:right="900"/>
        <w:jc w:val="both"/>
        <w:rPr>
          <w:b/>
          <w:bCs/>
          <w:sz w:val="28"/>
          <w:szCs w:val="28"/>
        </w:rPr>
      </w:pPr>
      <w:r w:rsidRPr="008E071F">
        <w:rPr>
          <w:b/>
          <w:bCs/>
          <w:sz w:val="28"/>
          <w:szCs w:val="28"/>
        </w:rPr>
        <w:t>(iv) if there is independent evidence of reliability,</w:t>
      </w:r>
      <w:r w:rsidR="00902669">
        <w:rPr>
          <w:b/>
          <w:bCs/>
          <w:sz w:val="28"/>
          <w:szCs w:val="28"/>
        </w:rPr>
        <w:t xml:space="preserve"> </w:t>
      </w:r>
      <w:r w:rsidRPr="008E071F">
        <w:rPr>
          <w:b/>
          <w:bCs/>
          <w:sz w:val="28"/>
          <w:szCs w:val="28"/>
        </w:rPr>
        <w:t>i.e.,</w:t>
      </w:r>
      <w:r w:rsidR="00902669">
        <w:rPr>
          <w:b/>
          <w:bCs/>
          <w:sz w:val="28"/>
          <w:szCs w:val="28"/>
        </w:rPr>
        <w:t xml:space="preserve"> </w:t>
      </w:r>
      <w:r w:rsidRPr="008E071F">
        <w:rPr>
          <w:b/>
          <w:bCs/>
          <w:sz w:val="28"/>
          <w:szCs w:val="28"/>
        </w:rPr>
        <w:t>a</w:t>
      </w:r>
      <w:r w:rsidR="00902669">
        <w:rPr>
          <w:b/>
          <w:bCs/>
          <w:sz w:val="28"/>
          <w:szCs w:val="28"/>
        </w:rPr>
        <w:t xml:space="preserve"> </w:t>
      </w:r>
      <w:r w:rsidRPr="008E071F">
        <w:rPr>
          <w:b/>
          <w:bCs/>
          <w:sz w:val="28"/>
          <w:szCs w:val="28"/>
        </w:rPr>
        <w:t xml:space="preserve">showing of circumstances which all but rule out a motive to falsify, and evidence that the intended future acts were at least likely to have </w:t>
      </w:r>
      <w:proofErr w:type="gramStart"/>
      <w:r w:rsidRPr="008E071F">
        <w:rPr>
          <w:b/>
          <w:bCs/>
          <w:sz w:val="28"/>
          <w:szCs w:val="28"/>
        </w:rPr>
        <w:t>actually</w:t>
      </w:r>
      <w:r w:rsidR="00F51DE0">
        <w:rPr>
          <w:b/>
          <w:bCs/>
          <w:sz w:val="28"/>
          <w:szCs w:val="28"/>
        </w:rPr>
        <w:t xml:space="preserve"> </w:t>
      </w:r>
      <w:r w:rsidRPr="008E071F">
        <w:rPr>
          <w:b/>
          <w:bCs/>
          <w:sz w:val="28"/>
          <w:szCs w:val="28"/>
        </w:rPr>
        <w:t>taken</w:t>
      </w:r>
      <w:proofErr w:type="gramEnd"/>
      <w:r w:rsidRPr="008E071F">
        <w:rPr>
          <w:b/>
          <w:bCs/>
          <w:sz w:val="28"/>
          <w:szCs w:val="28"/>
        </w:rPr>
        <w:t xml:space="preserve"> place.</w:t>
      </w:r>
    </w:p>
    <w:p w:rsidR="008E071F" w:rsidRPr="008E071F" w:rsidRDefault="008E071F" w:rsidP="008E071F">
      <w:pPr>
        <w:widowControl/>
        <w:numPr>
          <w:ilvl w:val="12"/>
          <w:numId w:val="0"/>
        </w:numPr>
        <w:tabs>
          <w:tab w:val="left" w:pos="1728"/>
          <w:tab w:val="left" w:pos="2160"/>
          <w:tab w:val="left" w:pos="2880"/>
          <w:tab w:val="left" w:pos="3600"/>
          <w:tab w:val="left" w:pos="4320"/>
          <w:tab w:val="left" w:pos="5040"/>
          <w:tab w:val="left" w:pos="5760"/>
          <w:tab w:val="left" w:pos="6480"/>
          <w:tab w:val="left" w:pos="6768"/>
        </w:tabs>
        <w:ind w:left="1728" w:right="1152"/>
        <w:jc w:val="both"/>
        <w:rPr>
          <w:b/>
          <w:bCs/>
          <w:sz w:val="28"/>
          <w:szCs w:val="28"/>
        </w:rPr>
      </w:pPr>
    </w:p>
    <w:p w:rsidR="00994826" w:rsidRDefault="00994826" w:rsidP="008E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8E071F">
        <w:rPr>
          <w:b/>
          <w:bCs/>
          <w:sz w:val="24"/>
          <w:szCs w:val="24"/>
        </w:rPr>
        <w:t>Note</w:t>
      </w:r>
    </w:p>
    <w:p w:rsidR="008E071F" w:rsidRPr="008E071F" w:rsidRDefault="008E071F" w:rsidP="008E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4"/>
          <w:szCs w:val="24"/>
        </w:rPr>
      </w:pPr>
    </w:p>
    <w:p w:rsidR="00994826" w:rsidRDefault="00994826" w:rsidP="008E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071F">
        <w:rPr>
          <w:sz w:val="24"/>
          <w:szCs w:val="24"/>
        </w:rPr>
        <w:tab/>
        <w:t xml:space="preserve">This rule addresses specifically the situation where a statement of the declarant’s then-existing intent, which is admissible under the exception set forth in Guide to New York Evidence rule 8.39, is offered as proof of subsequent conduct. It encompasses the doctrine as set forth in </w:t>
      </w:r>
      <w:r w:rsidRPr="008E071F">
        <w:rPr>
          <w:i/>
          <w:iCs/>
          <w:sz w:val="24"/>
          <w:szCs w:val="24"/>
        </w:rPr>
        <w:t xml:space="preserve">Mutual Life Ins. Co. v </w:t>
      </w:r>
      <w:proofErr w:type="spellStart"/>
      <w:r w:rsidRPr="008E071F">
        <w:rPr>
          <w:i/>
          <w:iCs/>
          <w:sz w:val="24"/>
          <w:szCs w:val="24"/>
        </w:rPr>
        <w:t>Hillmon</w:t>
      </w:r>
      <w:proofErr w:type="spellEnd"/>
      <w:r w:rsidRPr="008E071F">
        <w:rPr>
          <w:sz w:val="24"/>
          <w:szCs w:val="24"/>
        </w:rPr>
        <w:t xml:space="preserve"> (145 US 285 [1892]). The United States Supreme Court noted in </w:t>
      </w:r>
      <w:proofErr w:type="spellStart"/>
      <w:r w:rsidRPr="008E071F">
        <w:rPr>
          <w:i/>
          <w:iCs/>
          <w:sz w:val="24"/>
          <w:szCs w:val="24"/>
        </w:rPr>
        <w:t>Hillmon</w:t>
      </w:r>
      <w:proofErr w:type="spellEnd"/>
      <w:r w:rsidRPr="008E071F">
        <w:rPr>
          <w:sz w:val="24"/>
          <w:szCs w:val="24"/>
        </w:rPr>
        <w:t xml:space="preserve"> that a declarant’s statements of current intent were admissible to show that the intended act occurred. </w:t>
      </w:r>
    </w:p>
    <w:p w:rsidR="008E071F" w:rsidRPr="008E071F" w:rsidRDefault="008E071F" w:rsidP="008E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94826" w:rsidRDefault="00994826" w:rsidP="008E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071F">
        <w:rPr>
          <w:b/>
          <w:bCs/>
          <w:sz w:val="24"/>
          <w:szCs w:val="24"/>
        </w:rPr>
        <w:tab/>
        <w:t>Subdivision (1) (a</w:t>
      </w:r>
      <w:r w:rsidRPr="008E071F">
        <w:rPr>
          <w:sz w:val="24"/>
          <w:szCs w:val="24"/>
        </w:rPr>
        <w:t xml:space="preserve">) is derived from several Court of Appeals decisions which followed </w:t>
      </w:r>
      <w:proofErr w:type="spellStart"/>
      <w:r w:rsidRPr="008E071F">
        <w:rPr>
          <w:i/>
          <w:iCs/>
          <w:sz w:val="24"/>
          <w:szCs w:val="24"/>
        </w:rPr>
        <w:t>Hillmon</w:t>
      </w:r>
      <w:proofErr w:type="spellEnd"/>
      <w:r w:rsidRPr="008E071F">
        <w:rPr>
          <w:sz w:val="24"/>
          <w:szCs w:val="24"/>
        </w:rPr>
        <w:t>. In these decisions, the Court held that where the statement of current intent by the declarant is offered as proof that the declarant performed the intended act, the statement is admissible for that purpose</w:t>
      </w:r>
      <w:r w:rsidRPr="008E071F">
        <w:rPr>
          <w:i/>
          <w:iCs/>
          <w:sz w:val="24"/>
          <w:szCs w:val="24"/>
        </w:rPr>
        <w:t xml:space="preserve">. </w:t>
      </w:r>
      <w:r w:rsidRPr="008E071F">
        <w:rPr>
          <w:sz w:val="24"/>
          <w:szCs w:val="24"/>
        </w:rPr>
        <w:t>(</w:t>
      </w:r>
      <w:r w:rsidRPr="008E071F">
        <w:rPr>
          <w:i/>
          <w:iCs/>
          <w:sz w:val="24"/>
          <w:szCs w:val="24"/>
        </w:rPr>
        <w:t>See e.g. Crawford v Nilan</w:t>
      </w:r>
      <w:r w:rsidRPr="008E071F">
        <w:rPr>
          <w:sz w:val="24"/>
          <w:szCs w:val="24"/>
        </w:rPr>
        <w:t xml:space="preserve">, 289 NY 444, 448-449 [1943]; </w:t>
      </w:r>
      <w:r w:rsidRPr="008E071F">
        <w:rPr>
          <w:i/>
          <w:iCs/>
          <w:sz w:val="24"/>
          <w:szCs w:val="24"/>
        </w:rPr>
        <w:t>People v Conklin</w:t>
      </w:r>
      <w:r w:rsidRPr="008E071F">
        <w:rPr>
          <w:sz w:val="24"/>
          <w:szCs w:val="24"/>
        </w:rPr>
        <w:t xml:space="preserve">, 175 NY 333, 342 [1903].) The foundation for admissibility is derived from </w:t>
      </w:r>
      <w:r w:rsidRPr="008E071F">
        <w:rPr>
          <w:i/>
          <w:iCs/>
          <w:sz w:val="24"/>
          <w:szCs w:val="24"/>
        </w:rPr>
        <w:t>People v James</w:t>
      </w:r>
      <w:r w:rsidRPr="008E071F">
        <w:rPr>
          <w:sz w:val="24"/>
          <w:szCs w:val="24"/>
        </w:rPr>
        <w:t xml:space="preserve"> (93 NY2d 620, 634-635 [1999]).</w:t>
      </w:r>
    </w:p>
    <w:p w:rsidR="008E071F" w:rsidRPr="008E071F" w:rsidRDefault="008E071F" w:rsidP="008E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994826" w:rsidRPr="008E071F" w:rsidRDefault="00994826" w:rsidP="008E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071F">
        <w:rPr>
          <w:b/>
          <w:bCs/>
          <w:sz w:val="24"/>
          <w:szCs w:val="24"/>
        </w:rPr>
        <w:tab/>
        <w:t>Subdivision (1) (b</w:t>
      </w:r>
      <w:r w:rsidRPr="008E071F">
        <w:rPr>
          <w:sz w:val="24"/>
          <w:szCs w:val="24"/>
        </w:rPr>
        <w:t xml:space="preserve">) is taken verbatim from </w:t>
      </w:r>
      <w:r w:rsidRPr="008E071F">
        <w:rPr>
          <w:i/>
          <w:iCs/>
          <w:sz w:val="24"/>
          <w:szCs w:val="24"/>
        </w:rPr>
        <w:t>People v James</w:t>
      </w:r>
      <w:r w:rsidRPr="008E071F">
        <w:rPr>
          <w:sz w:val="24"/>
          <w:szCs w:val="24"/>
        </w:rPr>
        <w:t xml:space="preserve"> (93 NY2d at 634-635). Following dictum in </w:t>
      </w:r>
      <w:proofErr w:type="spellStart"/>
      <w:r w:rsidRPr="008E071F">
        <w:rPr>
          <w:i/>
          <w:iCs/>
          <w:sz w:val="24"/>
          <w:szCs w:val="24"/>
        </w:rPr>
        <w:t>Hillmon</w:t>
      </w:r>
      <w:proofErr w:type="spellEnd"/>
      <w:r w:rsidRPr="008E071F">
        <w:rPr>
          <w:sz w:val="24"/>
          <w:szCs w:val="24"/>
        </w:rPr>
        <w:t>, the Court of Appeals held a declarant’s statement of intent to participate in conduct with another person is admissible to prove that the other person engaged in the intended conduct, provided the four conditions in the rule were satisfied.</w:t>
      </w:r>
    </w:p>
    <w:sectPr w:rsidR="00994826" w:rsidRPr="008E071F" w:rsidSect="00E0127D">
      <w:footerReference w:type="default" r:id="rId7"/>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50" w:rsidRDefault="00C20050" w:rsidP="00956D20">
      <w:r>
        <w:separator/>
      </w:r>
    </w:p>
  </w:endnote>
  <w:endnote w:type="continuationSeparator" w:id="0">
    <w:p w:rsidR="00C20050" w:rsidRDefault="00C20050" w:rsidP="0095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20" w:rsidRPr="00956D20" w:rsidRDefault="00956D20">
    <w:pPr>
      <w:pStyle w:val="Footer"/>
      <w:jc w:val="center"/>
      <w:rPr>
        <w:sz w:val="24"/>
        <w:szCs w:val="24"/>
      </w:rPr>
    </w:pPr>
    <w:r w:rsidRPr="00956D20">
      <w:rPr>
        <w:sz w:val="24"/>
        <w:szCs w:val="24"/>
      </w:rPr>
      <w:fldChar w:fldCharType="begin"/>
    </w:r>
    <w:r w:rsidRPr="00956D20">
      <w:rPr>
        <w:sz w:val="24"/>
        <w:szCs w:val="24"/>
      </w:rPr>
      <w:instrText xml:space="preserve"> PAGE   \* MERGEFORMAT </w:instrText>
    </w:r>
    <w:r w:rsidRPr="00956D20">
      <w:rPr>
        <w:sz w:val="24"/>
        <w:szCs w:val="24"/>
      </w:rPr>
      <w:fldChar w:fldCharType="separate"/>
    </w:r>
    <w:r w:rsidR="00AC3BC8">
      <w:rPr>
        <w:noProof/>
        <w:sz w:val="24"/>
        <w:szCs w:val="24"/>
      </w:rPr>
      <w:t>2</w:t>
    </w:r>
    <w:r w:rsidRPr="00956D20">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50" w:rsidRDefault="00C20050" w:rsidP="00956D20">
      <w:r>
        <w:separator/>
      </w:r>
    </w:p>
  </w:footnote>
  <w:footnote w:type="continuationSeparator" w:id="0">
    <w:p w:rsidR="00C20050" w:rsidRDefault="00C20050" w:rsidP="00956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3475"/>
    <w:multiLevelType w:val="hybridMultilevel"/>
    <w:tmpl w:val="7B7240BC"/>
    <w:lvl w:ilvl="0" w:tplc="74C888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33B2807"/>
    <w:multiLevelType w:val="hybridMultilevel"/>
    <w:tmpl w:val="0980DC12"/>
    <w:lvl w:ilvl="0" w:tplc="E9ECA484">
      <w:start w:val="1"/>
      <w:numFmt w:val="decimal"/>
      <w:lvlText w:val="(%1)"/>
      <w:lvlJc w:val="left"/>
      <w:pPr>
        <w:ind w:left="1076" w:hanging="360"/>
      </w:pPr>
      <w:rPr>
        <w:rFonts w:cs="Times New Roman" w:hint="default"/>
      </w:rPr>
    </w:lvl>
    <w:lvl w:ilvl="1" w:tplc="04090019" w:tentative="1">
      <w:start w:val="1"/>
      <w:numFmt w:val="lowerLetter"/>
      <w:lvlText w:val="%2."/>
      <w:lvlJc w:val="left"/>
      <w:pPr>
        <w:ind w:left="1796" w:hanging="360"/>
      </w:pPr>
      <w:rPr>
        <w:rFonts w:cs="Times New Roman"/>
      </w:rPr>
    </w:lvl>
    <w:lvl w:ilvl="2" w:tplc="0409001B" w:tentative="1">
      <w:start w:val="1"/>
      <w:numFmt w:val="lowerRoman"/>
      <w:lvlText w:val="%3."/>
      <w:lvlJc w:val="right"/>
      <w:pPr>
        <w:ind w:left="2516" w:hanging="180"/>
      </w:pPr>
      <w:rPr>
        <w:rFonts w:cs="Times New Roman"/>
      </w:rPr>
    </w:lvl>
    <w:lvl w:ilvl="3" w:tplc="0409000F" w:tentative="1">
      <w:start w:val="1"/>
      <w:numFmt w:val="decimal"/>
      <w:lvlText w:val="%4."/>
      <w:lvlJc w:val="left"/>
      <w:pPr>
        <w:ind w:left="3236" w:hanging="360"/>
      </w:pPr>
      <w:rPr>
        <w:rFonts w:cs="Times New Roman"/>
      </w:rPr>
    </w:lvl>
    <w:lvl w:ilvl="4" w:tplc="04090019" w:tentative="1">
      <w:start w:val="1"/>
      <w:numFmt w:val="lowerLetter"/>
      <w:lvlText w:val="%5."/>
      <w:lvlJc w:val="left"/>
      <w:pPr>
        <w:ind w:left="3956" w:hanging="360"/>
      </w:pPr>
      <w:rPr>
        <w:rFonts w:cs="Times New Roman"/>
      </w:rPr>
    </w:lvl>
    <w:lvl w:ilvl="5" w:tplc="0409001B" w:tentative="1">
      <w:start w:val="1"/>
      <w:numFmt w:val="lowerRoman"/>
      <w:lvlText w:val="%6."/>
      <w:lvlJc w:val="right"/>
      <w:pPr>
        <w:ind w:left="4676" w:hanging="180"/>
      </w:pPr>
      <w:rPr>
        <w:rFonts w:cs="Times New Roman"/>
      </w:rPr>
    </w:lvl>
    <w:lvl w:ilvl="6" w:tplc="0409000F" w:tentative="1">
      <w:start w:val="1"/>
      <w:numFmt w:val="decimal"/>
      <w:lvlText w:val="%7."/>
      <w:lvlJc w:val="left"/>
      <w:pPr>
        <w:ind w:left="5396" w:hanging="360"/>
      </w:pPr>
      <w:rPr>
        <w:rFonts w:cs="Times New Roman"/>
      </w:rPr>
    </w:lvl>
    <w:lvl w:ilvl="7" w:tplc="04090019" w:tentative="1">
      <w:start w:val="1"/>
      <w:numFmt w:val="lowerLetter"/>
      <w:lvlText w:val="%8."/>
      <w:lvlJc w:val="left"/>
      <w:pPr>
        <w:ind w:left="6116" w:hanging="360"/>
      </w:pPr>
      <w:rPr>
        <w:rFonts w:cs="Times New Roman"/>
      </w:rPr>
    </w:lvl>
    <w:lvl w:ilvl="8" w:tplc="0409001B" w:tentative="1">
      <w:start w:val="1"/>
      <w:numFmt w:val="lowerRoman"/>
      <w:lvlText w:val="%9."/>
      <w:lvlJc w:val="right"/>
      <w:pPr>
        <w:ind w:left="6836" w:hanging="180"/>
      </w:pPr>
      <w:rPr>
        <w:rFonts w:cs="Times New Roman"/>
      </w:rPr>
    </w:lvl>
  </w:abstractNum>
  <w:abstractNum w:abstractNumId="2" w15:restartNumberingAfterBreak="0">
    <w:nsid w:val="6D5D4766"/>
    <w:multiLevelType w:val="multilevel"/>
    <w:tmpl w:val="1CD4535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7AE5690C"/>
    <w:multiLevelType w:val="hybridMultilevel"/>
    <w:tmpl w:val="B898466A"/>
    <w:lvl w:ilvl="0" w:tplc="5F3CD96C">
      <w:start w:val="1"/>
      <w:numFmt w:val="lowerRoman"/>
      <w:lvlText w:val="(%1)"/>
      <w:lvlJc w:val="left"/>
      <w:pPr>
        <w:ind w:left="2568" w:hanging="720"/>
      </w:pPr>
      <w:rPr>
        <w:rFonts w:cs="Times New Roman" w:hint="default"/>
      </w:rPr>
    </w:lvl>
    <w:lvl w:ilvl="1" w:tplc="04090019" w:tentative="1">
      <w:start w:val="1"/>
      <w:numFmt w:val="lowerLetter"/>
      <w:lvlText w:val="%2."/>
      <w:lvlJc w:val="left"/>
      <w:pPr>
        <w:ind w:left="2928" w:hanging="360"/>
      </w:pPr>
      <w:rPr>
        <w:rFonts w:cs="Times New Roman"/>
      </w:rPr>
    </w:lvl>
    <w:lvl w:ilvl="2" w:tplc="0409001B" w:tentative="1">
      <w:start w:val="1"/>
      <w:numFmt w:val="lowerRoman"/>
      <w:lvlText w:val="%3."/>
      <w:lvlJc w:val="right"/>
      <w:pPr>
        <w:ind w:left="3648" w:hanging="180"/>
      </w:pPr>
      <w:rPr>
        <w:rFonts w:cs="Times New Roman"/>
      </w:rPr>
    </w:lvl>
    <w:lvl w:ilvl="3" w:tplc="0409000F" w:tentative="1">
      <w:start w:val="1"/>
      <w:numFmt w:val="decimal"/>
      <w:lvlText w:val="%4."/>
      <w:lvlJc w:val="left"/>
      <w:pPr>
        <w:ind w:left="4368" w:hanging="360"/>
      </w:pPr>
      <w:rPr>
        <w:rFonts w:cs="Times New Roman"/>
      </w:rPr>
    </w:lvl>
    <w:lvl w:ilvl="4" w:tplc="04090019" w:tentative="1">
      <w:start w:val="1"/>
      <w:numFmt w:val="lowerLetter"/>
      <w:lvlText w:val="%5."/>
      <w:lvlJc w:val="left"/>
      <w:pPr>
        <w:ind w:left="5088" w:hanging="360"/>
      </w:pPr>
      <w:rPr>
        <w:rFonts w:cs="Times New Roman"/>
      </w:rPr>
    </w:lvl>
    <w:lvl w:ilvl="5" w:tplc="0409001B" w:tentative="1">
      <w:start w:val="1"/>
      <w:numFmt w:val="lowerRoman"/>
      <w:lvlText w:val="%6."/>
      <w:lvlJc w:val="right"/>
      <w:pPr>
        <w:ind w:left="5808" w:hanging="180"/>
      </w:pPr>
      <w:rPr>
        <w:rFonts w:cs="Times New Roman"/>
      </w:rPr>
    </w:lvl>
    <w:lvl w:ilvl="6" w:tplc="0409000F" w:tentative="1">
      <w:start w:val="1"/>
      <w:numFmt w:val="decimal"/>
      <w:lvlText w:val="%7."/>
      <w:lvlJc w:val="left"/>
      <w:pPr>
        <w:ind w:left="6528" w:hanging="360"/>
      </w:pPr>
      <w:rPr>
        <w:rFonts w:cs="Times New Roman"/>
      </w:rPr>
    </w:lvl>
    <w:lvl w:ilvl="7" w:tplc="04090019" w:tentative="1">
      <w:start w:val="1"/>
      <w:numFmt w:val="lowerLetter"/>
      <w:lvlText w:val="%8."/>
      <w:lvlJc w:val="left"/>
      <w:pPr>
        <w:ind w:left="7248" w:hanging="360"/>
      </w:pPr>
      <w:rPr>
        <w:rFonts w:cs="Times New Roman"/>
      </w:rPr>
    </w:lvl>
    <w:lvl w:ilvl="8" w:tplc="0409001B" w:tentative="1">
      <w:start w:val="1"/>
      <w:numFmt w:val="lowerRoman"/>
      <w:lvlText w:val="%9."/>
      <w:lvlJc w:val="right"/>
      <w:pPr>
        <w:ind w:left="7968"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CF"/>
    <w:rsid w:val="00181EF5"/>
    <w:rsid w:val="001F73D9"/>
    <w:rsid w:val="00432281"/>
    <w:rsid w:val="00450ACF"/>
    <w:rsid w:val="004F129F"/>
    <w:rsid w:val="005008DD"/>
    <w:rsid w:val="007E0297"/>
    <w:rsid w:val="008E071F"/>
    <w:rsid w:val="00902669"/>
    <w:rsid w:val="00956D20"/>
    <w:rsid w:val="00994826"/>
    <w:rsid w:val="0099634D"/>
    <w:rsid w:val="00AC3BC8"/>
    <w:rsid w:val="00AE08A8"/>
    <w:rsid w:val="00B161CC"/>
    <w:rsid w:val="00B5403F"/>
    <w:rsid w:val="00C20050"/>
    <w:rsid w:val="00CF6F97"/>
    <w:rsid w:val="00E0127D"/>
    <w:rsid w:val="00E026F7"/>
    <w:rsid w:val="00F13291"/>
    <w:rsid w:val="00F5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A1BCF"/>
  <w14:defaultImageDpi w14:val="0"/>
  <w15:docId w15:val="{754C37BB-A9A8-4408-928B-1FB62556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1436" w:hanging="72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796"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516"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3236"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956"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676"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396"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6116"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836" w:hanging="180"/>
      <w:jc w:val="both"/>
    </w:pPr>
    <w:rPr>
      <w:rFonts w:ascii="Times New Roman" w:hAnsi="Times New Roman"/>
      <w:sz w:val="24"/>
      <w:szCs w:val="24"/>
    </w:rPr>
  </w:style>
  <w:style w:type="paragraph" w:styleId="Header">
    <w:name w:val="header"/>
    <w:basedOn w:val="Normal"/>
    <w:link w:val="HeaderChar"/>
    <w:uiPriority w:val="99"/>
    <w:unhideWhenUsed/>
    <w:rsid w:val="00956D20"/>
    <w:pPr>
      <w:tabs>
        <w:tab w:val="center" w:pos="4680"/>
        <w:tab w:val="right" w:pos="9360"/>
      </w:tabs>
    </w:pPr>
  </w:style>
  <w:style w:type="character" w:customStyle="1" w:styleId="HeaderChar">
    <w:name w:val="Header Char"/>
    <w:basedOn w:val="DefaultParagraphFont"/>
    <w:link w:val="Header"/>
    <w:uiPriority w:val="99"/>
    <w:locked/>
    <w:rsid w:val="00956D20"/>
    <w:rPr>
      <w:rFonts w:ascii="Times New Roman" w:hAnsi="Times New Roman" w:cs="Times New Roman"/>
      <w:sz w:val="20"/>
      <w:szCs w:val="20"/>
    </w:rPr>
  </w:style>
  <w:style w:type="paragraph" w:styleId="Footer">
    <w:name w:val="footer"/>
    <w:basedOn w:val="Normal"/>
    <w:link w:val="FooterChar"/>
    <w:uiPriority w:val="99"/>
    <w:unhideWhenUsed/>
    <w:rsid w:val="00956D20"/>
    <w:pPr>
      <w:tabs>
        <w:tab w:val="center" w:pos="4680"/>
        <w:tab w:val="right" w:pos="9360"/>
      </w:tabs>
    </w:pPr>
  </w:style>
  <w:style w:type="character" w:customStyle="1" w:styleId="FooterChar">
    <w:name w:val="Footer Char"/>
    <w:basedOn w:val="DefaultParagraphFont"/>
    <w:link w:val="Footer"/>
    <w:uiPriority w:val="99"/>
    <w:locked/>
    <w:rsid w:val="00956D2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02669"/>
    <w:rPr>
      <w:rFonts w:cs="Times New Roman"/>
      <w:sz w:val="16"/>
      <w:szCs w:val="16"/>
    </w:rPr>
  </w:style>
  <w:style w:type="paragraph" w:styleId="CommentText">
    <w:name w:val="annotation text"/>
    <w:basedOn w:val="Normal"/>
    <w:link w:val="CommentTextChar"/>
    <w:uiPriority w:val="99"/>
    <w:semiHidden/>
    <w:unhideWhenUsed/>
    <w:rsid w:val="00902669"/>
  </w:style>
  <w:style w:type="character" w:customStyle="1" w:styleId="CommentTextChar">
    <w:name w:val="Comment Text Char"/>
    <w:basedOn w:val="DefaultParagraphFont"/>
    <w:link w:val="CommentText"/>
    <w:uiPriority w:val="99"/>
    <w:semiHidden/>
    <w:locked/>
    <w:rsid w:val="009026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669"/>
    <w:rPr>
      <w:b/>
      <w:bCs/>
    </w:rPr>
  </w:style>
  <w:style w:type="character" w:customStyle="1" w:styleId="CommentSubjectChar">
    <w:name w:val="Comment Subject Char"/>
    <w:basedOn w:val="CommentTextChar"/>
    <w:link w:val="CommentSubject"/>
    <w:uiPriority w:val="99"/>
    <w:semiHidden/>
    <w:locked/>
    <w:rsid w:val="0090266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026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2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6</cp:revision>
  <cp:lastPrinted>2017-06-06T16:15:00Z</cp:lastPrinted>
  <dcterms:created xsi:type="dcterms:W3CDTF">2017-04-24T17:15:00Z</dcterms:created>
  <dcterms:modified xsi:type="dcterms:W3CDTF">2017-06-12T15:46:00Z</dcterms:modified>
</cp:coreProperties>
</file>